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26F4" w:rsidR="00B80798" w:rsidP="6147E2EE" w:rsidRDefault="00FD4464" w14:paraId="1183696E" w14:textId="45FC4316">
      <w:pPr>
        <w:pStyle w:val="Normal"/>
        <w:jc w:val="center"/>
        <w:rPr>
          <w:rFonts w:ascii="Calibri" w:hAnsi="Calibri" w:cs="Calibri" w:asciiTheme="majorAscii" w:hAnsiTheme="majorAscii" w:cstheme="majorAscii"/>
          <w:b w:val="1"/>
          <w:bCs w:val="1"/>
          <w:u w:val="single"/>
        </w:rPr>
      </w:pPr>
      <w:r w:rsidRPr="7A071A78" w:rsidR="6A24411D">
        <w:rPr>
          <w:rFonts w:ascii="Calibri" w:hAnsi="Calibri" w:cs="Calibri" w:asciiTheme="majorAscii" w:hAnsiTheme="majorAscii" w:cstheme="majorAscii"/>
          <w:b w:val="1"/>
          <w:bCs w:val="1"/>
          <w:u w:val="single"/>
        </w:rPr>
        <w:t>Music Development Plan: Overview of Current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4"/>
      </w:tblGrid>
      <w:tr w:rsidRPr="007E26F4" w:rsidR="00040D90" w:rsidTr="7A071A78" w14:paraId="5871E13E" w14:textId="77777777">
        <w:tc>
          <w:tcPr>
            <w:tcW w:w="15384" w:type="dxa"/>
            <w:shd w:val="clear" w:color="auto" w:fill="FF66FF"/>
            <w:tcMar/>
          </w:tcPr>
          <w:p w:rsidRPr="007E26F4" w:rsidR="00040D90" w:rsidP="00FD4464" w:rsidRDefault="00040D90" w14:paraId="30F5956A" w14:textId="5F484B4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E26F4">
              <w:rPr>
                <w:rFonts w:asciiTheme="majorHAnsi" w:hAnsiTheme="majorHAnsi" w:cstheme="majorHAnsi"/>
                <w:b/>
              </w:rPr>
              <w:t>Overarching Vision</w:t>
            </w:r>
          </w:p>
        </w:tc>
      </w:tr>
      <w:tr w:rsidRPr="007E26F4" w:rsidR="00166AF1" w:rsidTr="7A071A78" w14:paraId="4D2F60E2" w14:textId="77777777">
        <w:tc>
          <w:tcPr>
            <w:tcW w:w="15384" w:type="dxa"/>
            <w:tcMar/>
          </w:tcPr>
          <w:p w:rsidRPr="007E26F4" w:rsidR="005903D3" w:rsidP="7A071A78" w:rsidRDefault="005903D3" w14:paraId="1D34F579" w14:textId="4076F177">
            <w:pPr>
              <w:pStyle w:val="Normal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 w:themeColor="text1" w:themeTint="BF" w:themeShade="FF"/>
              </w:rPr>
            </w:pPr>
            <w:r w:rsidRPr="7A071A78" w:rsidR="505417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>At Sandhill View Academy our core whole-school values are Aspire, Achieve</w:t>
            </w:r>
            <w:r w:rsidRPr="7A071A78" w:rsidR="67E4D90B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>,</w:t>
            </w:r>
            <w:r w:rsidRPr="7A071A78" w:rsidR="505417A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 and Enjoy</w:t>
            </w:r>
            <w:r w:rsidRPr="7A071A78" w:rsidR="425CDF51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>. This is the case for Music in our school, also. We encourage pupils to develop a love for and understanding of Music by performing regularly in lessons, composing, and appraising various musical styles</w:t>
            </w:r>
            <w:r w:rsidRPr="7A071A78" w:rsidR="4D9DE20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. </w:t>
            </w:r>
            <w:r>
              <w:br/>
            </w:r>
            <w:r w:rsidRPr="7A071A78" w:rsidR="4D9DE20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Aspiring to </w:t>
            </w:r>
            <w:r w:rsidRPr="7A071A78" w:rsidR="4D9DE20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>encounter</w:t>
            </w:r>
            <w:r w:rsidRPr="7A071A78" w:rsidR="4D9DE20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 a variety of musical activities regularly</w:t>
            </w:r>
            <w:r w:rsidRPr="7A071A78" w:rsidR="2CF054A1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 in our lessons helping them realise their musical potential. </w:t>
            </w:r>
            <w:r>
              <w:br/>
            </w:r>
            <w:r w:rsidRPr="7A071A78" w:rsidR="2CF054A1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>Achieving</w:t>
            </w:r>
            <w:r w:rsidRPr="7A071A78" w:rsidR="4481160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 musical skills and instrumental understanding to unlock their developing talents musically. </w:t>
            </w:r>
            <w:r>
              <w:br/>
            </w:r>
            <w:r w:rsidRPr="7A071A78" w:rsidR="4481160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Enjoying what is fundamentally </w:t>
            </w:r>
            <w:r w:rsidRPr="7A071A78" w:rsidR="1318264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a far-reaching inclusive and engaging music curriculum. </w:t>
            </w:r>
            <w:r w:rsidRPr="7A071A78" w:rsidR="1318264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We strive </w:t>
            </w:r>
            <w:r w:rsidRPr="7A071A78" w:rsidR="6EC1687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to </w:t>
            </w:r>
            <w:r w:rsidRPr="7A071A78" w:rsidR="6EC1687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>provide</w:t>
            </w:r>
            <w:r w:rsidRPr="7A071A78" w:rsidR="6EC1687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 a range of other musical opportunities, ensuring the community we serve</w:t>
            </w:r>
            <w:r w:rsidRPr="7A071A78" w:rsidR="129B248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 </w:t>
            </w:r>
            <w:r w:rsidRPr="7A071A78" w:rsidR="051F3B6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>know</w:t>
            </w:r>
            <w:r w:rsidRPr="7A071A78" w:rsidR="3F7921FA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>s</w:t>
            </w:r>
            <w:r w:rsidRPr="7A071A78" w:rsidR="051F3B6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 where to find out about activities happening inside, and outside, of school.</w:t>
            </w:r>
          </w:p>
          <w:p w:rsidRPr="007E26F4" w:rsidR="009B0D67" w:rsidP="7A071A78" w:rsidRDefault="009B0D67" w14:paraId="088967E1" w14:textId="2FEE6278">
            <w:pPr>
              <w:pStyle w:val="Normal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 w:themeColor="text1" w:themeTint="BF" w:themeShade="FF"/>
              </w:rPr>
            </w:pPr>
          </w:p>
          <w:p w:rsidRPr="007E26F4" w:rsidR="005903D3" w:rsidP="7A071A78" w:rsidRDefault="005903D3" w14:paraId="205A8F12" w14:textId="1B785A30">
            <w:pPr>
              <w:pStyle w:val="Normal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 w:themeColor="text1" w:themeTint="FF" w:themeShade="FF"/>
              </w:rPr>
            </w:pPr>
            <w:r w:rsidRPr="7A071A78" w:rsidR="5263BCC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Our ambition is to create a culture where music is celebrated, and musical interest and potential is nurtured and developed through a wide range of curricular, co-curricular and enrichment experiences that allow </w:t>
            </w:r>
            <w:r w:rsidRPr="7A071A78" w:rsidR="7D16266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 xml:space="preserve">learners </w:t>
            </w:r>
            <w:r w:rsidRPr="7A071A78" w:rsidR="5263BCC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</w:rPr>
              <w:t>to access and explore their music making through a range of opportunities and platforms.</w:t>
            </w:r>
          </w:p>
        </w:tc>
      </w:tr>
      <w:tr w:rsidRPr="007E26F4" w:rsidR="005903D3" w:rsidTr="7A071A78" w14:paraId="3E3DFDF8" w14:textId="77777777">
        <w:tc>
          <w:tcPr>
            <w:tcW w:w="15384" w:type="dxa"/>
            <w:shd w:val="clear" w:color="auto" w:fill="00CC99"/>
            <w:tcMar/>
          </w:tcPr>
          <w:p w:rsidRPr="007E26F4" w:rsidR="005903D3" w:rsidP="00613392" w:rsidRDefault="005903D3" w14:paraId="1D96D389" w14:textId="7058E80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E26F4">
              <w:rPr>
                <w:rFonts w:asciiTheme="majorHAnsi" w:hAnsiTheme="majorHAnsi" w:cstheme="majorHAnsi"/>
                <w:b/>
              </w:rPr>
              <w:t>Curriculum Aims</w:t>
            </w:r>
          </w:p>
        </w:tc>
      </w:tr>
      <w:tr w:rsidRPr="007E26F4" w:rsidR="00251F92" w:rsidTr="7A071A78" w14:paraId="185CC9EF" w14:textId="77777777">
        <w:tc>
          <w:tcPr>
            <w:tcW w:w="15384" w:type="dxa"/>
            <w:tcBorders>
              <w:bottom w:val="single" w:color="FFFFFF" w:themeColor="background1" w:sz="12"/>
            </w:tcBorders>
            <w:tcMar/>
          </w:tcPr>
          <w:p w:rsidRPr="007E26F4" w:rsidR="00C37501" w:rsidP="7A071A78" w:rsidRDefault="00C37501" w14:paraId="655D4D06" w14:textId="738B5AF2">
            <w:pPr>
              <w:spacing w:after="30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2" w:themeTint="FF" w:themeShade="80"/>
                <w:sz w:val="22"/>
                <w:szCs w:val="22"/>
                <w:lang w:val="en-GB"/>
              </w:rPr>
            </w:pPr>
            <w:r w:rsidRPr="7A071A78" w:rsidR="5B21AD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Music is all around us. It is the soundtrack to our lives and connects us in an ever-changing world. The curriculum includes formal teaching through subject areas, assemblies, and extracurricular activities. We regularly review content to ensure we continue to meet our curriculum aims. The Music curriculum &amp; wider extra-curricular activities are planned to enable all </w:t>
            </w:r>
            <w:r w:rsidRPr="7A071A78" w:rsidR="1DC89D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learners </w:t>
            </w:r>
            <w:r w:rsidRPr="7A071A78" w:rsidR="5B21AD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to develop skills in the following areas:</w:t>
            </w:r>
          </w:p>
          <w:p w:rsidRPr="007E26F4" w:rsidR="00C37501" w:rsidP="7A071A78" w:rsidRDefault="00C37501" w14:paraId="7FE0C873" w14:textId="422874A5">
            <w:pPr>
              <w:pStyle w:val="ListParagraph"/>
              <w:numPr>
                <w:ilvl w:val="0"/>
                <w:numId w:val="19"/>
              </w:numPr>
              <w:spacing w:after="30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2" w:themeTint="FF" w:themeShade="80"/>
                <w:sz w:val="20"/>
                <w:szCs w:val="20"/>
                <w:lang w:val="en-GB"/>
              </w:rPr>
            </w:pPr>
            <w:r w:rsidRPr="7A071A78" w:rsidR="5B21AD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Musical ability and understanding – including listening to, reviewing, and evaluating across a range of historical periods, genres, styles, and traditions</w:t>
            </w:r>
          </w:p>
          <w:p w:rsidRPr="007E26F4" w:rsidR="00C37501" w:rsidP="7A071A78" w:rsidRDefault="00C37501" w14:paraId="0CE98319" w14:textId="0EA981DA">
            <w:pPr>
              <w:pStyle w:val="ListParagraph"/>
              <w:numPr>
                <w:ilvl w:val="0"/>
                <w:numId w:val="19"/>
              </w:numPr>
              <w:spacing w:after="30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2" w:themeTint="FF" w:themeShade="80"/>
                <w:sz w:val="20"/>
                <w:szCs w:val="20"/>
                <w:lang w:val="en-GB"/>
              </w:rPr>
            </w:pPr>
            <w:r w:rsidRPr="7A071A78" w:rsidR="5B21AD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Encounters with performance opportunities within lessons regularly – including using music technology, learning musical instruments, and learning to use their voices</w:t>
            </w:r>
          </w:p>
          <w:p w:rsidRPr="007E26F4" w:rsidR="00C37501" w:rsidP="7A071A78" w:rsidRDefault="00C37501" w14:paraId="38028E94" w14:textId="36D34DAA">
            <w:pPr>
              <w:pStyle w:val="ListParagraph"/>
              <w:numPr>
                <w:ilvl w:val="0"/>
                <w:numId w:val="19"/>
              </w:numPr>
              <w:spacing w:after="30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2" w:themeTint="FF" w:themeShade="80"/>
                <w:sz w:val="20"/>
                <w:szCs w:val="20"/>
                <w:lang w:val="en-GB"/>
              </w:rPr>
            </w:pPr>
            <w:r w:rsidRPr="7A071A78" w:rsidR="5B21AD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Working with accessible online compositional and arrangement software</w:t>
            </w:r>
          </w:p>
          <w:p w:rsidRPr="007E26F4" w:rsidR="00C37501" w:rsidP="7A071A78" w:rsidRDefault="00C37501" w14:paraId="69497AFA" w14:textId="34DDB6E6">
            <w:pPr>
              <w:pStyle w:val="ListParagraph"/>
              <w:numPr>
                <w:ilvl w:val="0"/>
                <w:numId w:val="19"/>
              </w:numPr>
              <w:spacing w:after="30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2" w:themeTint="FF" w:themeShade="80"/>
                <w:sz w:val="20"/>
                <w:szCs w:val="20"/>
                <w:lang w:val="en-GB"/>
              </w:rPr>
            </w:pPr>
            <w:r w:rsidRPr="7A071A78" w:rsidR="5B21AD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Critical analysis of music of both contemporary and historical sources – understanding how music is created, produced, and communicated through its inter-related dimensions (Musical Elements)</w:t>
            </w:r>
            <w:r w:rsidRPr="7A071A78" w:rsidR="7B1599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: Pitch, Rhythm &amp; Duration, Melody, Dynamics, Tempo, Texture, Tonality, Timbre, Structure, Notation.</w:t>
            </w:r>
            <w:r w:rsidRPr="7A071A78" w:rsidR="028EA9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</w:t>
            </w:r>
          </w:p>
          <w:p w:rsidRPr="007E26F4" w:rsidR="00C37501" w:rsidP="7A071A78" w:rsidRDefault="00C37501" w14:paraId="4E39BEE2" w14:textId="4F12122E">
            <w:pPr>
              <w:pStyle w:val="Normal"/>
              <w:spacing w:after="300" w:line="240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7A071A78" w:rsidR="2F72F7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Our curriculum is designed in such a way as to incorporate the Model Music Curriculum and be engaging and representative of the diverse young people we serve as an academy.</w:t>
            </w:r>
            <w:r w:rsidRPr="7A071A78" w:rsidR="6B96AF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It allows our learners</w:t>
            </w:r>
            <w:r w:rsidRPr="7A071A78" w:rsidR="6B96AF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to develop skills and progress in composing, performing, appraising, improvising, music technology and singing to allow them to develop their whole musical self and progress to co-curricular activity should they wish to do so</w:t>
            </w:r>
            <w:r w:rsidRPr="7A071A78" w:rsidR="4D38EB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.</w:t>
            </w:r>
            <w:r w:rsidRPr="7A071A78" w:rsidR="7AFD0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br/>
            </w:r>
            <w:r>
              <w:br/>
            </w:r>
            <w:r w:rsidRPr="7A071A78" w:rsidR="7AFD0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With a minimum of </w:t>
            </w:r>
            <w:r w:rsidRPr="7A071A78" w:rsidR="67BD4C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one</w:t>
            </w:r>
            <w:r w:rsidRPr="7A071A78" w:rsidR="7AFD0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55min Period lesson per week, we hope our </w:t>
            </w:r>
            <w:r w:rsidRPr="7A071A78" w:rsidR="79E459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learners </w:t>
            </w:r>
            <w:r w:rsidRPr="7A071A78" w:rsidR="7AFD0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Know More, Do More, and Go Further Musically. Know More: our </w:t>
            </w:r>
            <w:r w:rsidRPr="7A071A78" w:rsidR="650219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learners </w:t>
            </w:r>
            <w:r w:rsidRPr="7A071A78" w:rsidR="7AFD0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will understand more about music, and the interrelated dimensions of the topic</w:t>
            </w:r>
            <w:r w:rsidRPr="7A071A78" w:rsidR="71F488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. Do More: our learners</w:t>
            </w:r>
            <w:r w:rsidRPr="7A071A78" w:rsidR="4D2AE1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will develop their musical ability to progress to the next level of musical excellence. Go Further: our learners will explore the wider skills associated with musicality, listening, teamwork, creativity, lea</w:t>
            </w:r>
            <w:r w:rsidRPr="7A071A78" w:rsidR="03D45A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dership, problem solving; essential skills which they will access and use further in life outside of education.</w:t>
            </w:r>
          </w:p>
        </w:tc>
      </w:tr>
      <w:tr w:rsidR="7A071A78" w:rsidTr="7A071A78" w14:paraId="48B4B947">
        <w:trPr>
          <w:trHeight w:val="300"/>
        </w:trPr>
        <w:tc>
          <w:tcPr>
            <w:tcW w:w="15384" w:type="dxa"/>
            <w:tcBorders>
              <w:top w:val="single" w:color="FFFFFF" w:themeColor="background1" w:sz="12"/>
              <w:left w:val="single" w:color="0D0D0D" w:themeColor="text1" w:themeTint="F2" w:sz="4"/>
              <w:bottom w:val="single" w:color="0D0D0D" w:themeColor="text1" w:themeTint="F2" w:sz="4"/>
              <w:right w:val="single" w:color="0D0D0D" w:themeColor="text1" w:themeTint="F2" w:sz="4"/>
            </w:tcBorders>
            <w:tcMar/>
          </w:tcPr>
          <w:p w:rsidR="7A071A78" w:rsidP="7A071A78" w:rsidRDefault="7A071A78" w14:paraId="7F29AF6A" w14:textId="0910817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</w:pPr>
          </w:p>
        </w:tc>
      </w:tr>
      <w:tr w:rsidRPr="007E26F4" w:rsidR="00251F92" w:rsidTr="7A071A78" w14:paraId="5D026D0E" w14:textId="77777777">
        <w:tc>
          <w:tcPr>
            <w:tcW w:w="15384" w:type="dxa"/>
            <w:tcBorders>
              <w:top w:val="single" w:color="0D0D0D" w:themeColor="text1" w:themeTint="F2" w:sz="4"/>
            </w:tcBorders>
            <w:shd w:val="clear" w:color="auto" w:fill="00CC99"/>
            <w:tcMar/>
          </w:tcPr>
          <w:p w:rsidRPr="007E26F4" w:rsidR="00251F92" w:rsidP="7A071A78" w:rsidRDefault="00251F92" w14:paraId="3094F186" w14:textId="32844A45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7A071A78" w:rsidR="00251F92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Co-Curricular </w:t>
            </w:r>
            <w:r w:rsidRPr="7A071A78" w:rsidR="5370FBA4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Aims:</w:t>
            </w:r>
            <w:r w:rsidRPr="7A071A78" w:rsidR="000F11FF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 Instrumental and vocal lessons</w:t>
            </w:r>
            <w:r w:rsidRPr="7A071A78" w:rsidR="00F96266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 and </w:t>
            </w:r>
            <w:r w:rsidRPr="7A071A78" w:rsidR="009B0D67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E</w:t>
            </w:r>
            <w:r w:rsidRPr="7A071A78" w:rsidR="00F96266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nsembles</w:t>
            </w:r>
          </w:p>
        </w:tc>
      </w:tr>
      <w:tr w:rsidRPr="007E26F4" w:rsidR="00251F92" w:rsidTr="7A071A78" w14:paraId="55B8AE57" w14:textId="77777777">
        <w:tc>
          <w:tcPr>
            <w:tcW w:w="15384" w:type="dxa"/>
            <w:tcMar/>
          </w:tcPr>
          <w:p w:rsidRPr="007E26F4" w:rsidR="00C37501" w:rsidP="7A071A78" w:rsidRDefault="00C37501" w14:paraId="1CB56068" w14:textId="5A5FBE02">
            <w:pPr>
              <w:spacing w:before="240" w:beforeAutospacing="off" w:after="240" w:afterAutospacing="off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Our co-curricular music program 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prior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iti</w:t>
            </w:r>
            <w:r w:rsidRPr="7A071A78" w:rsidR="0206482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s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es inclusivity, seamlessly building upon the musical foundation 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established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in curriculum lessons. This comprehensive approach caters to </w:t>
            </w:r>
            <w:r w:rsidRPr="7A071A78" w:rsidR="370111D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learners 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of all experience levels, fostering a love of music and nurturing the talent of those who wish to further develop their skills. We offer a variety of engaging opportunities, including Classroom Instrumental Learning in KS3 alongside high-quality, weekly small group and individual instrumental lessons delivered by professional musicians and peripatetic tutors across a wide range of instruments. Furthermore, our </w:t>
            </w:r>
            <w:r w:rsidRPr="7A071A78" w:rsidR="0508014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learner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-focused ensembles and lunchtime clubs are free to 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participate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in and led by music or performance specialists. These groups build upon classroom instruction, providing a focused and creative environment where </w:t>
            </w:r>
            <w:r w:rsidRPr="7A071A78" w:rsidR="17FEB3D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learners 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can develop their musicianship based on their interests. We are committed to fostering a culture of progression by embedding opportunities for advancement and guidance within our enrichment work. Additionally, we build positive relationships with families, supporting them in finding the right out-of-school musical opportunities for their children. </w:t>
            </w:r>
          </w:p>
          <w:p w:rsidRPr="007E26F4" w:rsidR="00C37501" w:rsidP="7A071A78" w:rsidRDefault="00C37501" w14:paraId="3A291934" w14:textId="6CB3FD63">
            <w:pPr>
              <w:spacing w:before="240" w:beforeAutospacing="off" w:after="240" w:afterAutospacing="off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By creating a diverse and accessible co-curricular music program, designed with inclusion at the core, we can nurture a vibrant musical community at Sandhill View Academy. This program will not only enhance </w:t>
            </w:r>
            <w:r w:rsidRPr="7A071A78" w:rsidR="5C4FDE0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learners’ </w:t>
            </w:r>
            <w:r w:rsidRPr="7A071A78" w:rsidR="64E021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musical skills but also contribute to their overall well-being and academic success. We believe co-curricular music plays a vital role in a well-rounded education and are committed to its development at our school.</w:t>
            </w:r>
          </w:p>
        </w:tc>
      </w:tr>
      <w:tr w:rsidRPr="007E26F4" w:rsidR="00F36A26" w:rsidTr="7A071A78" w14:paraId="571E4997" w14:textId="77777777">
        <w:tc>
          <w:tcPr>
            <w:tcW w:w="15384" w:type="dxa"/>
            <w:shd w:val="clear" w:color="auto" w:fill="00CC99"/>
            <w:tcMar/>
          </w:tcPr>
          <w:p w:rsidRPr="007E26F4" w:rsidR="00F36A26" w:rsidP="7A071A78" w:rsidRDefault="00F36A26" w14:paraId="6F778460" w14:textId="08E359D4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7A071A78" w:rsidR="00F36A26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Enrichment</w:t>
            </w:r>
            <w:r w:rsidRPr="7A071A78" w:rsidR="00926885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 </w:t>
            </w:r>
            <w:r w:rsidRPr="7A071A78" w:rsidR="6131E814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Aims:</w:t>
            </w:r>
            <w:r w:rsidRPr="7A071A78" w:rsidR="00F36A26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 musical events and </w:t>
            </w:r>
            <w:r w:rsidRPr="7A071A78" w:rsidR="000F11FF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opportunities</w:t>
            </w:r>
          </w:p>
        </w:tc>
      </w:tr>
      <w:tr w:rsidRPr="007E26F4" w:rsidR="00F36A26" w:rsidTr="7A071A78" w14:paraId="2FB916C9" w14:textId="77777777">
        <w:tc>
          <w:tcPr>
            <w:tcW w:w="15384" w:type="dxa"/>
            <w:tcMar/>
          </w:tcPr>
          <w:p w:rsidRPr="007E26F4" w:rsidR="009B0D67" w:rsidP="7A071A78" w:rsidRDefault="009B0D67" w14:paraId="5FB14BE2" w14:textId="3740C24D">
            <w:pPr>
              <w:pStyle w:val="Normal"/>
              <w:spacing w:before="240" w:beforeAutospacing="off" w:after="240" w:afterAutospacing="off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7A071A78" w:rsidR="755CE0D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At Sandhill View Academy we believe that the academic life of our school should include much more than what happens in the mainstream curriculum.</w:t>
            </w:r>
            <w:r>
              <w:br/>
            </w:r>
            <w:r w:rsidRPr="7A071A78" w:rsidR="755CE0D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We offer a wide range of experiences and challenges that enrich our pupils. This is to ensure that our </w:t>
            </w:r>
            <w:r w:rsidRPr="7A071A78" w:rsidR="7C21D33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learners </w:t>
            </w:r>
            <w:r w:rsidRPr="7A071A78" w:rsidR="755CE0D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are inspired to learn outside of the classroom and develop the skills </w:t>
            </w:r>
            <w:r w:rsidRPr="7A071A78" w:rsidR="755CE0D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required</w:t>
            </w:r>
            <w:r w:rsidRPr="7A071A78" w:rsidR="755CE0D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for the world beyond their secondary education.</w:t>
            </w:r>
            <w:r>
              <w:br/>
            </w:r>
            <w:r w:rsidRPr="7A071A78" w:rsidR="755CE0D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Through our Curriculum Enrichment </w:t>
            </w:r>
            <w:r w:rsidRPr="7A071A78" w:rsidR="3E0FBD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programme,</w:t>
            </w:r>
            <w:r w:rsidRPr="7A071A78" w:rsidR="3E0FBD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7A071A78" w:rsidR="755CE0D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we use the talents and experiences of others from outside of the school, in combination with the talents and interests of staff within our school, to improve our </w:t>
            </w:r>
            <w:r w:rsidRPr="7A071A78" w:rsidR="6090EBB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learners’ </w:t>
            </w:r>
            <w:r w:rsidRPr="7A071A78" w:rsidR="755CE0D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education and their enthusiasm for learning.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We aim for our music enrichment offer to include a wide range of musical genres and styles, guaranteeing that every </w:t>
            </w:r>
            <w:r w:rsidRPr="7A071A78" w:rsidR="654539C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learner 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can discover a sound that sparks their musical flame. We 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prior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iti</w:t>
            </w:r>
            <w:r w:rsidRPr="7A071A78" w:rsidR="17A0014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s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e accessibility and engagement, making participation welcoming and rewarding for all.</w:t>
            </w:r>
            <w:r w:rsidRPr="7A071A78" w:rsidR="4A40624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This is designed in partnership with our local music hub, fostering connections within the broader musical community. This collaborative approach allows us to offer a comprehensive experience.</w:t>
            </w:r>
            <w:r w:rsidRPr="7A071A78" w:rsidR="45F72D8A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We hold a firm belief that every child deserves the right to explore the world of music. Our program</w:t>
            </w:r>
            <w:r w:rsidRPr="7A071A78" w:rsidR="7F45217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me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provides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a diverse range of opportunities and experiences, catering to </w:t>
            </w:r>
            <w:r w:rsidRPr="7A071A78" w:rsidR="71A2013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learners </w:t>
            </w:r>
            <w:r w:rsidRPr="7A071A78" w:rsidR="64F927B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at varying</w:t>
            </w:r>
            <w:r w:rsidRPr="7A071A78" w:rsidR="013BCA0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stages of musical development. This ensures that their musical journey can begin, flourish, or continue to evolve within the supportive environment we provide, both within and outside of school hours.</w:t>
            </w:r>
          </w:p>
        </w:tc>
      </w:tr>
    </w:tbl>
    <w:p w:rsidRPr="007E26F4" w:rsidR="009676BC" w:rsidP="6147E2EE" w:rsidRDefault="00FD4464" w14:paraId="1D43BDE8" w14:textId="035DD5F0">
      <w:pPr>
        <w:jc w:val="center"/>
        <w:rPr>
          <w:rFonts w:ascii="Calibri" w:hAnsi="Calibri" w:cs="Calibri" w:asciiTheme="majorAscii" w:hAnsiTheme="majorAscii" w:cstheme="majorAscii"/>
          <w:b w:val="1"/>
          <w:bCs w:val="1"/>
          <w:u w:val="single"/>
        </w:rPr>
        <w:sectPr w:rsidRPr="007E26F4" w:rsidR="00A373B5" w:rsidSect="0004574B">
          <w:headerReference w:type="default" r:id="rId9"/>
          <w:footerReference w:type="default" r:id="rId10"/>
          <w:pgSz w:w="16834" w:h="11909" w:orient="landscape"/>
          <w:pgMar w:top="144" w:right="576" w:bottom="144" w:left="576" w:header="720" w:footer="720" w:gutter="0"/>
          <w:cols w:space="720"/>
          <w:docGrid w:linePitch="299"/>
        </w:sectPr>
      </w:pPr>
      <w:r w:rsidRPr="6147E2EE">
        <w:rPr>
          <w:rFonts w:ascii="Calibri" w:hAnsi="Calibri" w:cs="Calibri" w:asciiTheme="majorAscii" w:hAnsiTheme="majorAscii" w:cstheme="majorAscii"/>
          <w:b w:val="1"/>
          <w:bCs w:val="1"/>
          <w:u w:val="single"/>
        </w:rPr>
        <w:br w:type="page"/>
      </w:r>
    </w:p>
    <w:p w:rsidRPr="007E26F4" w:rsidR="00D155C3" w:rsidP="6147E2EE" w:rsidRDefault="00D8171D" w14:paraId="15EE3C2F" w14:textId="68442C6F">
      <w:pPr>
        <w:jc w:val="center"/>
        <w:rPr>
          <w:rFonts w:ascii="Calibri" w:hAnsi="Calibri" w:cs="Calibri" w:asciiTheme="majorAscii" w:hAnsiTheme="majorAscii" w:cstheme="majorAscii"/>
          <w:b w:val="1"/>
          <w:bCs w:val="1"/>
          <w:u w:val="single"/>
        </w:rPr>
      </w:pPr>
      <w:r w:rsidRPr="7A071A78" w:rsidR="00A373B5">
        <w:rPr>
          <w:rFonts w:ascii="Calibri" w:hAnsi="Calibri" w:cs="Calibri" w:asciiTheme="majorAscii" w:hAnsiTheme="majorAscii" w:cstheme="majorAscii"/>
          <w:b w:val="1"/>
          <w:bCs w:val="1"/>
          <w:u w:val="single"/>
        </w:rPr>
        <w:t>Music Development Plan</w:t>
      </w:r>
      <w:r w:rsidRPr="7A071A78" w:rsidR="00B066D1">
        <w:rPr>
          <w:rFonts w:ascii="Calibri" w:hAnsi="Calibri" w:cs="Calibri" w:asciiTheme="majorAscii" w:hAnsiTheme="majorAscii" w:cstheme="majorAscii"/>
          <w:b w:val="1"/>
          <w:bCs w:val="1"/>
          <w:u w:val="single"/>
        </w:rPr>
        <w:t xml:space="preserve">: </w:t>
      </w:r>
      <w:r w:rsidRPr="7A071A78" w:rsidR="00D8171D">
        <w:rPr>
          <w:rFonts w:ascii="Calibri" w:hAnsi="Calibri" w:cs="Calibri" w:asciiTheme="majorAscii" w:hAnsiTheme="majorAscii" w:cstheme="majorAscii"/>
          <w:b w:val="1"/>
          <w:bCs w:val="1"/>
          <w:u w:val="single"/>
        </w:rPr>
        <w:t>Plan of Action</w:t>
      </w: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2985"/>
        <w:gridCol w:w="2925"/>
        <w:gridCol w:w="3660"/>
        <w:gridCol w:w="2660"/>
        <w:gridCol w:w="3160"/>
      </w:tblGrid>
      <w:tr w:rsidRPr="007E26F4" w:rsidR="00EC7EBE" w:rsidTr="23A1613B" w14:paraId="0F76226C" w14:textId="0AA01840">
        <w:trPr>
          <w:trHeight w:val="300"/>
        </w:trPr>
        <w:tc>
          <w:tcPr>
            <w:tcW w:w="15390" w:type="dxa"/>
            <w:gridSpan w:val="5"/>
            <w:shd w:val="clear" w:color="auto" w:fill="00CC99"/>
            <w:tcMar/>
          </w:tcPr>
          <w:p w:rsidR="0BAA6FD7" w:rsidP="7A071A78" w:rsidRDefault="0BAA6FD7" w14:paraId="1149EC3A" w14:textId="51E6106B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1253FB10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Curriculum Music</w:t>
            </w:r>
          </w:p>
        </w:tc>
      </w:tr>
      <w:tr w:rsidRPr="007E26F4" w:rsidR="00EC7EBE" w:rsidTr="23A1613B" w14:paraId="544B7CF4" w14:textId="710985C4">
        <w:trPr>
          <w:trHeight w:val="420"/>
        </w:trPr>
        <w:tc>
          <w:tcPr>
            <w:tcW w:w="2985" w:type="dxa"/>
            <w:shd w:val="clear" w:color="auto" w:fill="B2A1C7" w:themeFill="accent4" w:themeFillTint="99"/>
            <w:tcMar/>
          </w:tcPr>
          <w:p w:rsidR="5C647ED8" w:rsidP="7A071A78" w:rsidRDefault="5C647ED8" w14:paraId="22C1C0BF" w14:textId="4F7436E8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79A14DD8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Curriculum Music Vision</w:t>
            </w:r>
          </w:p>
        </w:tc>
        <w:tc>
          <w:tcPr>
            <w:tcW w:w="2925" w:type="dxa"/>
            <w:shd w:val="clear" w:color="auto" w:fill="FFCCFF"/>
            <w:tcMar/>
          </w:tcPr>
          <w:p w:rsidRPr="007E26F4" w:rsidR="00EC7EBE" w:rsidP="7A071A78" w:rsidRDefault="00EC7EBE" w14:paraId="2E948E9F" w14:textId="77777777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1E2AF7F9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Action</w:t>
            </w:r>
          </w:p>
        </w:tc>
        <w:tc>
          <w:tcPr>
            <w:tcW w:w="3660" w:type="dxa"/>
            <w:shd w:val="clear" w:color="auto" w:fill="66CCFF"/>
            <w:tcMar/>
          </w:tcPr>
          <w:p w:rsidRPr="007E26F4" w:rsidR="00EC7EBE" w:rsidP="7A071A78" w:rsidRDefault="00EC7EBE" w14:paraId="1B3F3561" w14:textId="60351F69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1E2AF7F9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Resourcing/next steps</w:t>
            </w:r>
          </w:p>
        </w:tc>
        <w:tc>
          <w:tcPr>
            <w:tcW w:w="2660" w:type="dxa"/>
            <w:shd w:val="clear" w:color="auto" w:fill="66CCFF"/>
            <w:tcMar/>
          </w:tcPr>
          <w:p w:rsidR="728BC126" w:rsidP="7A071A78" w:rsidRDefault="728BC126" w14:paraId="56136F28" w14:textId="619D5AB8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4C311690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Responsibility</w:t>
            </w:r>
          </w:p>
        </w:tc>
        <w:tc>
          <w:tcPr>
            <w:tcW w:w="3160" w:type="dxa"/>
            <w:shd w:val="clear" w:color="auto" w:fill="66CCFF"/>
            <w:tcMar/>
          </w:tcPr>
          <w:p w:rsidR="728BC126" w:rsidP="7A071A78" w:rsidRDefault="728BC126" w14:paraId="15774708" w14:textId="560E742F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38C0D875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Review </w:t>
            </w:r>
            <w:r w:rsidRPr="7A071A78" w:rsidR="6B5E3B3D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Date</w:t>
            </w:r>
            <w:r w:rsidRPr="7A071A78" w:rsidR="737E3237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s</w:t>
            </w:r>
          </w:p>
        </w:tc>
      </w:tr>
      <w:tr w:rsidRPr="007E26F4" w:rsidR="00EC7EBE" w:rsidTr="23A1613B" w14:paraId="3025738F" w14:textId="7E285DEF">
        <w:trPr>
          <w:trHeight w:val="300"/>
        </w:trPr>
        <w:tc>
          <w:tcPr>
            <w:tcW w:w="2985" w:type="dxa"/>
            <w:vMerge w:val="restart"/>
            <w:tcMar/>
          </w:tcPr>
          <w:p w:rsidR="6147E2EE" w:rsidP="7A071A78" w:rsidRDefault="6147E2EE" w14:paraId="30F88A24" w14:textId="0E212874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558AAA14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Know More</w:t>
            </w:r>
            <w:r>
              <w:br/>
            </w:r>
          </w:p>
        </w:tc>
        <w:tc>
          <w:tcPr>
            <w:tcW w:w="2925" w:type="dxa"/>
            <w:tcMar/>
          </w:tcPr>
          <w:p w:rsidRPr="007E26F4" w:rsidR="00EC7EBE" w:rsidP="7A071A78" w:rsidRDefault="00EC7EBE" w14:paraId="42134A7F" w14:textId="542D13BC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697A3708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To further embed use of voice into our classroom environment and learning</w:t>
            </w:r>
          </w:p>
        </w:tc>
        <w:tc>
          <w:tcPr>
            <w:tcW w:w="3660" w:type="dxa"/>
            <w:tcMar/>
          </w:tcPr>
          <w:p w:rsidRPr="007E26F4" w:rsidR="00EC7EBE" w:rsidP="7A071A78" w:rsidRDefault="00EC7EBE" w14:paraId="791DCBFD" w14:textId="5FA8D490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697A3708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Staff CPD around confidence of this</w:t>
            </w:r>
          </w:p>
        </w:tc>
        <w:tc>
          <w:tcPr>
            <w:tcW w:w="2660" w:type="dxa"/>
            <w:tcMar/>
          </w:tcPr>
          <w:p w:rsidR="5FD0FF7F" w:rsidP="7A071A78" w:rsidRDefault="5FD0FF7F" w14:paraId="1B224155" w14:textId="25521921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A1613B" w:rsidR="697A3708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 Sanderson</w:t>
            </w:r>
            <w:r>
              <w:br/>
            </w:r>
            <w:r>
              <w:br/>
            </w:r>
            <w:r w:rsidRPr="23A1613B" w:rsidR="0C6A271F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Sunderland Music Hub</w:t>
            </w:r>
          </w:p>
        </w:tc>
        <w:tc>
          <w:tcPr>
            <w:tcW w:w="3160" w:type="dxa"/>
            <w:tcMar/>
          </w:tcPr>
          <w:p w:rsidR="5FD0FF7F" w:rsidP="7A071A78" w:rsidRDefault="5FD0FF7F" w14:paraId="779C2450" w14:textId="2D18CDDD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5D33E5ED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1: December 2024</w:t>
            </w:r>
            <w:r>
              <w:br/>
            </w:r>
            <w:r w:rsidRPr="7A071A78" w:rsidR="126B9A4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2: March 2025</w:t>
            </w:r>
            <w:r>
              <w:br/>
            </w:r>
            <w:r w:rsidRPr="7A071A78" w:rsidR="58CCB786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Milestone 3: </w:t>
            </w:r>
            <w:r w:rsidRPr="7A071A78" w:rsidR="3A0674B1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June 2025</w:t>
            </w:r>
          </w:p>
        </w:tc>
      </w:tr>
      <w:tr w:rsidRPr="007E26F4" w:rsidR="00EC7EBE" w:rsidTr="23A1613B" w14:paraId="04C8C8FC" w14:textId="15C387E1">
        <w:trPr>
          <w:trHeight w:val="300"/>
        </w:trPr>
        <w:tc>
          <w:tcPr>
            <w:tcW w:w="2985" w:type="dxa"/>
            <w:vMerge/>
            <w:tcMar/>
          </w:tcPr>
          <w:p w14:paraId="27E09B9C"/>
        </w:tc>
        <w:tc>
          <w:tcPr>
            <w:tcW w:w="2925" w:type="dxa"/>
            <w:tcMar/>
          </w:tcPr>
          <w:p w:rsidRPr="007E26F4" w:rsidR="00EC7EBE" w:rsidP="7A071A78" w:rsidRDefault="00EC7EBE" w14:paraId="3436CD7A" w14:textId="7C6E72C4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3D90AA70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F</w:t>
            </w:r>
            <w:r w:rsidRPr="7A071A78" w:rsidR="3A0674B1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urther strengthen our pupil progress within our curriculum</w:t>
            </w:r>
            <w:r w:rsidRPr="7A071A78" w:rsidR="078F6920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 (following KS2)</w:t>
            </w:r>
          </w:p>
        </w:tc>
        <w:tc>
          <w:tcPr>
            <w:tcW w:w="3660" w:type="dxa"/>
            <w:tcMar/>
          </w:tcPr>
          <w:p w:rsidRPr="007E26F4" w:rsidR="00EC7EBE" w:rsidP="7A071A78" w:rsidRDefault="00EC7EBE" w14:paraId="35759FE1" w14:textId="7CE677F1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3A0674B1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Reach out to feeder school music leads</w:t>
            </w:r>
            <w:r w:rsidRPr="7A071A78" w:rsidR="4E33801D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 to foster links with feeder school music leads </w:t>
            </w:r>
          </w:p>
        </w:tc>
        <w:tc>
          <w:tcPr>
            <w:tcW w:w="2660" w:type="dxa"/>
            <w:tcMar/>
          </w:tcPr>
          <w:p w:rsidR="5FD0FF7F" w:rsidP="7A071A78" w:rsidRDefault="5FD0FF7F" w14:paraId="402F5D86" w14:textId="1B411028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3A0674B1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 Sanderson/A Blake</w:t>
            </w:r>
          </w:p>
        </w:tc>
        <w:tc>
          <w:tcPr>
            <w:tcW w:w="3160" w:type="dxa"/>
            <w:tcMar/>
          </w:tcPr>
          <w:p w:rsidR="5FD0FF7F" w:rsidP="7A071A78" w:rsidRDefault="5FD0FF7F" w14:paraId="7C94D24C" w14:textId="3FF2B0A1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67267623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1: December 2024</w:t>
            </w:r>
            <w:r>
              <w:br/>
            </w:r>
            <w:r w:rsidRPr="7A071A78" w:rsidR="67267623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2: March 2025</w:t>
            </w:r>
            <w:r>
              <w:br/>
            </w:r>
            <w:r w:rsidRPr="7A071A78" w:rsidR="67267623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3: June 2025</w:t>
            </w:r>
          </w:p>
        </w:tc>
      </w:tr>
    </w:tbl>
    <w:p w:rsidR="0173381E" w:rsidP="7A071A78" w:rsidRDefault="0173381E" w14:paraId="42CDE1F9" w14:textId="088D013B">
      <w:pPr>
        <w:pStyle w:val="Normal"/>
        <w:rPr>
          <w:rFonts w:ascii="Calibri" w:hAnsi="Calibri" w:cs="Calibri" w:asciiTheme="majorAscii" w:hAnsiTheme="majorAscii" w:cstheme="majorAscii"/>
          <w:sz w:val="12"/>
          <w:szCs w:val="12"/>
        </w:rPr>
      </w:pP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2955"/>
        <w:gridCol w:w="2955"/>
        <w:gridCol w:w="3675"/>
        <w:gridCol w:w="2645"/>
        <w:gridCol w:w="3160"/>
      </w:tblGrid>
      <w:tr w:rsidR="6147E2EE" w:rsidTr="23A1613B" w14:paraId="2CE06E64">
        <w:trPr>
          <w:trHeight w:val="300"/>
        </w:trPr>
        <w:tc>
          <w:tcPr>
            <w:tcW w:w="15390" w:type="dxa"/>
            <w:gridSpan w:val="5"/>
            <w:shd w:val="clear" w:color="auto" w:fill="00CC99"/>
            <w:tcMar/>
          </w:tcPr>
          <w:p w:rsidR="6AFCE26F" w:rsidP="7A071A78" w:rsidRDefault="6AFCE26F" w14:paraId="0DA3B9BD" w14:textId="2A8A4095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70D5AA62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Co-</w:t>
            </w:r>
            <w:r w:rsidRPr="7A071A78" w:rsidR="28958C0A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Curricul</w:t>
            </w:r>
            <w:r w:rsidRPr="7A071A78" w:rsidR="518C1E15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ar</w:t>
            </w:r>
            <w:r w:rsidRPr="7A071A78" w:rsidR="28958C0A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Music</w:t>
            </w:r>
          </w:p>
        </w:tc>
      </w:tr>
      <w:tr w:rsidR="6147E2EE" w:rsidTr="23A1613B" w14:paraId="5A0FADEC">
        <w:trPr>
          <w:trHeight w:val="300"/>
        </w:trPr>
        <w:tc>
          <w:tcPr>
            <w:tcW w:w="2955" w:type="dxa"/>
            <w:shd w:val="clear" w:color="auto" w:fill="B2A1C7" w:themeFill="accent4" w:themeFillTint="99"/>
            <w:tcMar/>
          </w:tcPr>
          <w:p w:rsidR="6147E2EE" w:rsidP="7A071A78" w:rsidRDefault="6147E2EE" w14:paraId="13D55124" w14:textId="0F9B5FD8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28958C0A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C</w:t>
            </w:r>
            <w:r w:rsidRPr="7A071A78" w:rsidR="1EAA5418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o-Curricular </w:t>
            </w:r>
            <w:r w:rsidRPr="7A071A78" w:rsidR="28958C0A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Music Vision</w:t>
            </w:r>
          </w:p>
        </w:tc>
        <w:tc>
          <w:tcPr>
            <w:tcW w:w="2955" w:type="dxa"/>
            <w:shd w:val="clear" w:color="auto" w:fill="FFCCFF"/>
            <w:tcMar/>
          </w:tcPr>
          <w:p w:rsidR="6147E2EE" w:rsidP="7A071A78" w:rsidRDefault="6147E2EE" w14:paraId="2E0F3543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28958C0A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Action</w:t>
            </w:r>
          </w:p>
        </w:tc>
        <w:tc>
          <w:tcPr>
            <w:tcW w:w="3675" w:type="dxa"/>
            <w:shd w:val="clear" w:color="auto" w:fill="66CCFF"/>
            <w:tcMar/>
          </w:tcPr>
          <w:p w:rsidR="6147E2EE" w:rsidP="7A071A78" w:rsidRDefault="6147E2EE" w14:paraId="4C643237" w14:textId="067BD97C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28958C0A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Resourcing/next steps:</w:t>
            </w:r>
          </w:p>
        </w:tc>
        <w:tc>
          <w:tcPr>
            <w:tcW w:w="2645" w:type="dxa"/>
            <w:shd w:val="clear" w:color="auto" w:fill="66CCFF"/>
            <w:tcMar/>
          </w:tcPr>
          <w:p w:rsidR="5FD0FF7F" w:rsidP="7A071A78" w:rsidRDefault="5FD0FF7F" w14:paraId="3E06D70C" w14:textId="619D5AB8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39BE9FA0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Responsibility</w:t>
            </w:r>
          </w:p>
        </w:tc>
        <w:tc>
          <w:tcPr>
            <w:tcW w:w="3160" w:type="dxa"/>
            <w:shd w:val="clear" w:color="auto" w:fill="66CCFF"/>
            <w:tcMar/>
          </w:tcPr>
          <w:p w:rsidR="5FD0FF7F" w:rsidP="7A071A78" w:rsidRDefault="5FD0FF7F" w14:paraId="5A28F49B" w14:textId="41BCCFC4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4FA532A4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Review </w:t>
            </w:r>
            <w:r w:rsidRPr="7A071A78" w:rsidR="3CB61B48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Date</w:t>
            </w:r>
            <w:r w:rsidRPr="7A071A78" w:rsidR="737E3237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s</w:t>
            </w:r>
          </w:p>
        </w:tc>
      </w:tr>
      <w:tr w:rsidR="6147E2EE" w:rsidTr="23A1613B" w14:paraId="12FD258C">
        <w:trPr>
          <w:trHeight w:val="300"/>
        </w:trPr>
        <w:tc>
          <w:tcPr>
            <w:tcW w:w="2955" w:type="dxa"/>
            <w:vMerge w:val="restart"/>
            <w:tcMar/>
          </w:tcPr>
          <w:p w:rsidR="6147E2EE" w:rsidP="7A071A78" w:rsidRDefault="6147E2EE" w14:paraId="32EB1141" w14:textId="245379AF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7D85D3E6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Do More</w:t>
            </w:r>
            <w:r>
              <w:br/>
            </w:r>
          </w:p>
        </w:tc>
        <w:tc>
          <w:tcPr>
            <w:tcW w:w="2955" w:type="dxa"/>
            <w:tcMar/>
          </w:tcPr>
          <w:p w:rsidR="6147E2EE" w:rsidP="7A071A78" w:rsidRDefault="6147E2EE" w14:paraId="19201A91" w14:textId="779FC1E5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13AF0375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Recruitment and retention to</w:t>
            </w:r>
            <w:r w:rsidRPr="7A071A78" w:rsidR="5A4B7D25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 generate interest and improve uptake</w:t>
            </w:r>
            <w:r w:rsidRPr="7A071A78" w:rsidR="20C5AED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 of instrumental lessons</w:t>
            </w:r>
          </w:p>
        </w:tc>
        <w:tc>
          <w:tcPr>
            <w:tcW w:w="3675" w:type="dxa"/>
            <w:tcMar/>
          </w:tcPr>
          <w:p w:rsidR="6147E2EE" w:rsidP="7A071A78" w:rsidRDefault="6147E2EE" w14:paraId="5081FDF4" w14:textId="6D622302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A1613B" w:rsidR="20C5AED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Regular re-advertisement and offering of lessons throughout the academic year.</w:t>
            </w:r>
            <w:r w:rsidRPr="23A1613B" w:rsidR="479C911A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 </w:t>
            </w:r>
            <w:r w:rsidRPr="23A1613B" w:rsidR="5A4B7D25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Time to do this using Tutor Time/Assembly time</w:t>
            </w:r>
          </w:p>
        </w:tc>
        <w:tc>
          <w:tcPr>
            <w:tcW w:w="2645" w:type="dxa"/>
            <w:tcMar/>
          </w:tcPr>
          <w:p w:rsidR="5FD0FF7F" w:rsidP="7A071A78" w:rsidRDefault="5FD0FF7F" w14:paraId="639CCE8F" w14:textId="05B74D8B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5A4B7D25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 Sanderson</w:t>
            </w:r>
          </w:p>
        </w:tc>
        <w:tc>
          <w:tcPr>
            <w:tcW w:w="3160" w:type="dxa"/>
            <w:tcMar/>
          </w:tcPr>
          <w:p w:rsidR="5FD0FF7F" w:rsidP="7A071A78" w:rsidRDefault="5FD0FF7F" w14:paraId="17C235CD" w14:textId="2D18CDDD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6A869512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1: December 2024</w:t>
            </w:r>
            <w:r>
              <w:br/>
            </w:r>
            <w:r w:rsidRPr="7A071A78" w:rsidR="6A869512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2: March 2025</w:t>
            </w:r>
            <w:r>
              <w:br/>
            </w:r>
            <w:r w:rsidRPr="7A071A78" w:rsidR="6A869512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3: June 2025</w:t>
            </w:r>
          </w:p>
          <w:p w:rsidR="5FD0FF7F" w:rsidP="7A071A78" w:rsidRDefault="5FD0FF7F" w14:paraId="2C9426B2" w14:textId="58FD886C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</w:p>
        </w:tc>
      </w:tr>
      <w:tr w:rsidR="6147E2EE" w:rsidTr="23A1613B" w14:paraId="26BA75E0">
        <w:trPr>
          <w:trHeight w:val="300"/>
        </w:trPr>
        <w:tc>
          <w:tcPr>
            <w:tcW w:w="2955" w:type="dxa"/>
            <w:vMerge/>
            <w:tcMar/>
          </w:tcPr>
          <w:p w14:paraId="4ABEA1F7"/>
        </w:tc>
        <w:tc>
          <w:tcPr>
            <w:tcW w:w="2955" w:type="dxa"/>
            <w:tcMar/>
          </w:tcPr>
          <w:p w:rsidR="6147E2EE" w:rsidP="7A071A78" w:rsidRDefault="6147E2EE" w14:paraId="534D2410" w14:textId="6331BD0C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6540AB12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E</w:t>
            </w:r>
            <w:r w:rsidRPr="7A071A78" w:rsidR="5A4B7D25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n</w:t>
            </w:r>
            <w:r w:rsidRPr="7A071A78" w:rsidR="02E36F48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sure</w:t>
            </w:r>
            <w:r w:rsidRPr="7A071A78" w:rsidR="5A4B7D25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 our </w:t>
            </w:r>
            <w:r w:rsidRPr="7A071A78" w:rsidR="52D571E8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learners</w:t>
            </w:r>
            <w:r w:rsidRPr="7A071A78" w:rsidR="03D90424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 </w:t>
            </w:r>
            <w:r w:rsidRPr="7A071A78" w:rsidR="5A4B7D25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are fully aware of activities available outside of school</w:t>
            </w:r>
          </w:p>
        </w:tc>
        <w:tc>
          <w:tcPr>
            <w:tcW w:w="3675" w:type="dxa"/>
            <w:tcMar/>
          </w:tcPr>
          <w:p w:rsidR="6147E2EE" w:rsidP="7A071A78" w:rsidRDefault="6147E2EE" w14:paraId="0DD25D77" w14:textId="71134B10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5F058809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Regular signposting of wider offer from Music Hub </w:t>
            </w:r>
            <w:r>
              <w:br/>
            </w:r>
            <w:r w:rsidRPr="7A071A78" w:rsidR="5A4B7D25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Utilising Tutor Time for this</w:t>
            </w:r>
          </w:p>
        </w:tc>
        <w:tc>
          <w:tcPr>
            <w:tcW w:w="2645" w:type="dxa"/>
            <w:tcMar/>
          </w:tcPr>
          <w:p w:rsidR="5FD0FF7F" w:rsidP="7A071A78" w:rsidRDefault="5FD0FF7F" w14:paraId="0C67255B" w14:textId="5025CE29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5A4B7D25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 Sanderson</w:t>
            </w:r>
          </w:p>
        </w:tc>
        <w:tc>
          <w:tcPr>
            <w:tcW w:w="3160" w:type="dxa"/>
            <w:tcMar/>
          </w:tcPr>
          <w:p w:rsidR="5FD0FF7F" w:rsidP="7A071A78" w:rsidRDefault="5FD0FF7F" w14:paraId="68E240D3" w14:textId="381EE1BD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2DB8DBC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1: December 2024</w:t>
            </w:r>
            <w:r>
              <w:br/>
            </w:r>
            <w:r w:rsidRPr="7A071A78" w:rsidR="2DB8DBC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2: March 2025</w:t>
            </w:r>
            <w:r>
              <w:br/>
            </w:r>
            <w:r w:rsidRPr="7A071A78" w:rsidR="2DB8DBC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3: June 2025</w:t>
            </w:r>
          </w:p>
        </w:tc>
      </w:tr>
    </w:tbl>
    <w:p w:rsidR="5FD0FF7F" w:rsidP="7A071A78" w:rsidRDefault="5FD0FF7F" w14:paraId="4F228B3D" w14:textId="599E01A0">
      <w:pPr>
        <w:rPr>
          <w:sz w:val="12"/>
          <w:szCs w:val="12"/>
        </w:rPr>
      </w:pP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2955"/>
        <w:gridCol w:w="2955"/>
        <w:gridCol w:w="3690"/>
        <w:gridCol w:w="2630"/>
        <w:gridCol w:w="3160"/>
      </w:tblGrid>
      <w:tr w:rsidR="6147E2EE" w:rsidTr="23A1613B" w14:paraId="3777C67E">
        <w:trPr>
          <w:trHeight w:val="300"/>
        </w:trPr>
        <w:tc>
          <w:tcPr>
            <w:tcW w:w="15390" w:type="dxa"/>
            <w:gridSpan w:val="5"/>
            <w:shd w:val="clear" w:color="auto" w:fill="00CC99"/>
            <w:tcMar/>
          </w:tcPr>
          <w:p w:rsidR="1109BD71" w:rsidP="7A071A78" w:rsidRDefault="1109BD71" w14:paraId="6CDBFD5C" w14:textId="28692DBF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471074DE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Enrichment</w:t>
            </w:r>
            <w:r w:rsidRPr="7A071A78" w:rsidR="28958C0A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Music</w:t>
            </w:r>
          </w:p>
        </w:tc>
      </w:tr>
      <w:tr w:rsidR="6147E2EE" w:rsidTr="23A1613B" w14:paraId="3024C366">
        <w:trPr>
          <w:trHeight w:val="300"/>
        </w:trPr>
        <w:tc>
          <w:tcPr>
            <w:tcW w:w="2955" w:type="dxa"/>
            <w:shd w:val="clear" w:color="auto" w:fill="B2A1C7" w:themeFill="accent4" w:themeFillTint="99"/>
            <w:tcMar/>
          </w:tcPr>
          <w:p w:rsidR="1109BD71" w:rsidP="7A071A78" w:rsidRDefault="1109BD71" w14:paraId="453D3A0B" w14:textId="467FE1C5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471074DE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Enrichment</w:t>
            </w:r>
            <w:r w:rsidRPr="7A071A78" w:rsidR="28958C0A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Vision</w:t>
            </w:r>
          </w:p>
        </w:tc>
        <w:tc>
          <w:tcPr>
            <w:tcW w:w="2955" w:type="dxa"/>
            <w:shd w:val="clear" w:color="auto" w:fill="FFCCFF"/>
            <w:tcMar/>
          </w:tcPr>
          <w:p w:rsidR="6147E2EE" w:rsidP="7A071A78" w:rsidRDefault="6147E2EE" w14:paraId="6A83B1E1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28958C0A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Action</w:t>
            </w:r>
          </w:p>
        </w:tc>
        <w:tc>
          <w:tcPr>
            <w:tcW w:w="3690" w:type="dxa"/>
            <w:shd w:val="clear" w:color="auto" w:fill="66CCFF"/>
            <w:tcMar/>
          </w:tcPr>
          <w:p w:rsidR="6147E2EE" w:rsidP="7A071A78" w:rsidRDefault="6147E2EE" w14:paraId="12FBDF41" w14:textId="62FF77A4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28958C0A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Resourcing/next steps:</w:t>
            </w:r>
          </w:p>
        </w:tc>
        <w:tc>
          <w:tcPr>
            <w:tcW w:w="2630" w:type="dxa"/>
            <w:shd w:val="clear" w:color="auto" w:fill="66CCFF"/>
            <w:tcMar/>
          </w:tcPr>
          <w:p w:rsidR="5FD0FF7F" w:rsidP="7A071A78" w:rsidRDefault="5FD0FF7F" w14:paraId="61F872D9" w14:textId="619D5AB8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39BE9FA0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Responsibility</w:t>
            </w:r>
          </w:p>
        </w:tc>
        <w:tc>
          <w:tcPr>
            <w:tcW w:w="3160" w:type="dxa"/>
            <w:shd w:val="clear" w:color="auto" w:fill="66CCFF"/>
            <w:tcMar/>
          </w:tcPr>
          <w:p w:rsidR="5FD0FF7F" w:rsidP="7A071A78" w:rsidRDefault="5FD0FF7F" w14:paraId="25D405BB" w14:textId="167D4934">
            <w:pPr>
              <w:pStyle w:val="Normal"/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7A071A78" w:rsidR="1F0D445F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Review </w:t>
            </w:r>
            <w:r w:rsidRPr="7A071A78" w:rsidR="3CB61B48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Date</w:t>
            </w:r>
            <w:r w:rsidRPr="7A071A78" w:rsidR="3DBEEEB9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s</w:t>
            </w:r>
          </w:p>
        </w:tc>
      </w:tr>
      <w:tr w:rsidR="6147E2EE" w:rsidTr="23A1613B" w14:paraId="6D4D382D">
        <w:trPr>
          <w:trHeight w:val="300"/>
        </w:trPr>
        <w:tc>
          <w:tcPr>
            <w:tcW w:w="2955" w:type="dxa"/>
            <w:tcMar/>
          </w:tcPr>
          <w:p w:rsidR="6147E2EE" w:rsidP="7A071A78" w:rsidRDefault="6147E2EE" w14:paraId="166F6060" w14:textId="475F739D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42712146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Go Further</w:t>
            </w:r>
          </w:p>
        </w:tc>
        <w:tc>
          <w:tcPr>
            <w:tcW w:w="2955" w:type="dxa"/>
            <w:tcMar/>
          </w:tcPr>
          <w:p w:rsidR="6147E2EE" w:rsidP="7A071A78" w:rsidRDefault="6147E2EE" w14:paraId="25188938" w14:textId="4ACBF239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2E57109A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E</w:t>
            </w:r>
            <w:r w:rsidRPr="7A071A78" w:rsidR="1A89174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nable learners to</w:t>
            </w:r>
            <w:r w:rsidRPr="7A071A78" w:rsidR="2E57109A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 experience live performance inside and outside of school in</w:t>
            </w:r>
            <w:r w:rsidRPr="7A071A78" w:rsidR="73EAD174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-</w:t>
            </w:r>
            <w:r w:rsidRPr="7A071A78" w:rsidR="2E57109A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line with Model Music Curriculum recommendations </w:t>
            </w:r>
          </w:p>
        </w:tc>
        <w:tc>
          <w:tcPr>
            <w:tcW w:w="3690" w:type="dxa"/>
            <w:tcMar/>
          </w:tcPr>
          <w:p w:rsidR="6147E2EE" w:rsidP="7A071A78" w:rsidRDefault="6147E2EE" w14:paraId="19697EA8" w14:textId="18EA0253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A1613B" w:rsidR="2E57109A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Finding/sourcing funding available for this</w:t>
            </w:r>
            <w:r>
              <w:br/>
            </w:r>
            <w:r>
              <w:br/>
            </w:r>
            <w:r w:rsidRPr="23A1613B" w:rsidR="4A7549D0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Checking in with Music Hub for more information regularly</w:t>
            </w:r>
          </w:p>
        </w:tc>
        <w:tc>
          <w:tcPr>
            <w:tcW w:w="2630" w:type="dxa"/>
            <w:tcMar/>
          </w:tcPr>
          <w:p w:rsidR="5FD0FF7F" w:rsidP="7A071A78" w:rsidRDefault="5FD0FF7F" w14:paraId="441BCF9C" w14:textId="60FA7153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A1613B" w:rsidR="2E57109A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 Sanderson/A Blake/ Headteacher</w:t>
            </w:r>
            <w:r>
              <w:br/>
            </w:r>
            <w:r>
              <w:br/>
            </w:r>
            <w:r w:rsidRPr="23A1613B" w:rsidR="498C0579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Sunderland Music Hub</w:t>
            </w:r>
          </w:p>
        </w:tc>
        <w:tc>
          <w:tcPr>
            <w:tcW w:w="3160" w:type="dxa"/>
            <w:tcMar/>
          </w:tcPr>
          <w:p w:rsidR="5FD0FF7F" w:rsidP="7A071A78" w:rsidRDefault="5FD0FF7F" w14:paraId="5FCA0421" w14:textId="2D18CDDD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7A071A78" w:rsidR="1F1F1026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1: December 2024</w:t>
            </w:r>
            <w:r>
              <w:br/>
            </w:r>
            <w:r w:rsidRPr="7A071A78" w:rsidR="1F1F1026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2: March 2025</w:t>
            </w:r>
            <w:r>
              <w:br/>
            </w:r>
            <w:r w:rsidRPr="7A071A78" w:rsidR="1F1F1026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Milestone 3: June 2025</w:t>
            </w:r>
          </w:p>
          <w:p w:rsidR="5FD0FF7F" w:rsidP="7A071A78" w:rsidRDefault="5FD0FF7F" w14:paraId="762A3569" w14:textId="0E40FE59">
            <w:pPr>
              <w:pStyle w:val="Normal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</w:p>
        </w:tc>
      </w:tr>
    </w:tbl>
    <w:p w:rsidR="0173381E" w:rsidRDefault="0173381E" w14:paraId="552275FA" w14:textId="108AB6D6"/>
    <w:p w:rsidRPr="007E26F4" w:rsidR="00F51B88" w:rsidP="0173381E" w:rsidRDefault="00F51B88" w14:paraId="241FE172" w14:textId="6B4C7209">
      <w:pPr>
        <w:pStyle w:val="Normal"/>
      </w:pPr>
    </w:p>
    <w:sectPr w:rsidRPr="007E26F4" w:rsidR="002D7659" w:rsidSect="00B10242">
      <w:pgSz w:w="16834" w:h="11909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7E6" w:rsidP="006523A7" w:rsidRDefault="00E907E6" w14:paraId="483B5F33" w14:textId="77777777">
      <w:pPr>
        <w:spacing w:line="240" w:lineRule="auto"/>
      </w:pPr>
      <w:r>
        <w:separator/>
      </w:r>
    </w:p>
  </w:endnote>
  <w:endnote w:type="continuationSeparator" w:id="0">
    <w:p w:rsidR="00E907E6" w:rsidP="006523A7" w:rsidRDefault="00E907E6" w14:paraId="6ACD3020" w14:textId="77777777">
      <w:pPr>
        <w:spacing w:line="240" w:lineRule="auto"/>
      </w:pPr>
      <w:r>
        <w:continuationSeparator/>
      </w:r>
    </w:p>
  </w:endnote>
  <w:endnote w:type="continuationNotice" w:id="1">
    <w:p w:rsidR="00E907E6" w:rsidRDefault="00E907E6" w14:paraId="3B2AD2F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8A0" w:rsidRDefault="00D37C0C" w14:paraId="7EB72433" w14:textId="5430B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7E6" w:rsidP="006523A7" w:rsidRDefault="00E907E6" w14:paraId="3679ACDA" w14:textId="77777777">
      <w:pPr>
        <w:spacing w:line="240" w:lineRule="auto"/>
      </w:pPr>
      <w:r>
        <w:separator/>
      </w:r>
    </w:p>
  </w:footnote>
  <w:footnote w:type="continuationSeparator" w:id="0">
    <w:p w:rsidR="00E907E6" w:rsidP="006523A7" w:rsidRDefault="00E907E6" w14:paraId="2A2164B6" w14:textId="77777777">
      <w:pPr>
        <w:spacing w:line="240" w:lineRule="auto"/>
      </w:pPr>
      <w:r>
        <w:continuationSeparator/>
      </w:r>
    </w:p>
  </w:footnote>
  <w:footnote w:type="continuationNotice" w:id="1">
    <w:p w:rsidR="00E907E6" w:rsidRDefault="00E907E6" w14:paraId="406AFDB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13B34" w:rsidR="006523A7" w:rsidP="00C13B34" w:rsidRDefault="00C13B34" w14:paraId="6B7DC8F4" w14:textId="4FD153A9">
    <w:pPr>
      <w:pStyle w:val="Header"/>
    </w:pPr>
    <w:r w:rsidR="7A071A78">
      <w:drawing>
        <wp:inline wp14:editId="12064AF7" wp14:anchorId="582F5089">
          <wp:extent cx="957410" cy="485775"/>
          <wp:effectExtent l="0" t="0" r="0" b="0"/>
          <wp:docPr id="15107236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ea8f4536fee4251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5741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A071A78" w:rsidR="7A071A78">
      <w:rPr>
        <w:rFonts w:ascii="Calibri" w:hAnsi="Calibri" w:cs="Calibri" w:asciiTheme="majorAscii" w:hAnsiTheme="majorAscii" w:cstheme="majorAscii"/>
        <w:b w:val="1"/>
        <w:bCs w:val="1"/>
        <w:noProof/>
        <w:sz w:val="20"/>
        <w:szCs w:val="20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3a2dd5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0aea7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0c229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e1377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F66D2"/>
    <w:multiLevelType w:val="hybridMultilevel"/>
    <w:tmpl w:val="1514E5E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035D"/>
    <w:multiLevelType w:val="hybridMultilevel"/>
    <w:tmpl w:val="EBC81520"/>
    <w:lvl w:ilvl="0" w:tplc="C0483D3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5607F6"/>
    <w:multiLevelType w:val="hybridMultilevel"/>
    <w:tmpl w:val="B3007DA2"/>
    <w:lvl w:ilvl="0" w:tplc="C0483D3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571FC1"/>
    <w:multiLevelType w:val="hybridMultilevel"/>
    <w:tmpl w:val="E9121174"/>
    <w:lvl w:ilvl="0" w:tplc="E408B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AB2B6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6AA6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B0046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DA438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582AF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CB05C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8C024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E28F2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 w15:restartNumberingAfterBreak="0">
    <w:nsid w:val="11B03FF5"/>
    <w:multiLevelType w:val="hybridMultilevel"/>
    <w:tmpl w:val="24B6C97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703C1"/>
    <w:multiLevelType w:val="hybridMultilevel"/>
    <w:tmpl w:val="4254F664"/>
    <w:lvl w:ilvl="0" w:tplc="C0483D3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DE4064"/>
    <w:multiLevelType w:val="hybridMultilevel"/>
    <w:tmpl w:val="1ADCDCE2"/>
    <w:lvl w:ilvl="0" w:tplc="881AE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0DC76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870BE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D2265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CB2E1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D363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FE0E5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23E7B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2543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29CA6BC4"/>
    <w:multiLevelType w:val="hybridMultilevel"/>
    <w:tmpl w:val="FD3EE57C"/>
    <w:lvl w:ilvl="0" w:tplc="45761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8FC7E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61AA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6F681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AC216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5B0E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67AE4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794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0DC0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 w15:restartNumberingAfterBreak="0">
    <w:nsid w:val="29F67A92"/>
    <w:multiLevelType w:val="hybridMultilevel"/>
    <w:tmpl w:val="E5F21C32"/>
    <w:lvl w:ilvl="0" w:tplc="2AA0A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F404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736EC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E9EA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D405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F789A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F5881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ABAE4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5B08B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 w15:restartNumberingAfterBreak="0">
    <w:nsid w:val="2A21706F"/>
    <w:multiLevelType w:val="multilevel"/>
    <w:tmpl w:val="350C9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8E175A"/>
    <w:multiLevelType w:val="multilevel"/>
    <w:tmpl w:val="FCDC2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9D54BA"/>
    <w:multiLevelType w:val="hybridMultilevel"/>
    <w:tmpl w:val="39E44100"/>
    <w:lvl w:ilvl="0" w:tplc="0C0C8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9F63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2AA3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D2C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CAE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502C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A56C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7628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B761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37A43AE1"/>
    <w:multiLevelType w:val="hybridMultilevel"/>
    <w:tmpl w:val="CA861982"/>
    <w:lvl w:ilvl="0" w:tplc="C0483D3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6D300F"/>
    <w:multiLevelType w:val="hybridMultilevel"/>
    <w:tmpl w:val="D852669C"/>
    <w:lvl w:ilvl="0" w:tplc="D2744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D242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CEA2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C8EE1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D7297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30D27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F549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44F01B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3FE83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4" w15:restartNumberingAfterBreak="0">
    <w:nsid w:val="5AE53DB2"/>
    <w:multiLevelType w:val="hybridMultilevel"/>
    <w:tmpl w:val="2ED4D05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5" w15:restartNumberingAfterBreak="0">
    <w:nsid w:val="685E1DF0"/>
    <w:multiLevelType w:val="hybridMultilevel"/>
    <w:tmpl w:val="A1D4EE6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E1050"/>
    <w:multiLevelType w:val="hybridMultilevel"/>
    <w:tmpl w:val="DA62757C"/>
    <w:lvl w:ilvl="0" w:tplc="C0483D3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9D0699"/>
    <w:multiLevelType w:val="hybridMultilevel"/>
    <w:tmpl w:val="46B0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2100907098">
    <w:abstractNumId w:val="10"/>
  </w:num>
  <w:num w:numId="2" w16cid:durableId="1157262457">
    <w:abstractNumId w:val="9"/>
  </w:num>
  <w:num w:numId="3" w16cid:durableId="1539927833">
    <w:abstractNumId w:val="12"/>
  </w:num>
  <w:num w:numId="4" w16cid:durableId="1005474780">
    <w:abstractNumId w:val="16"/>
  </w:num>
  <w:num w:numId="5" w16cid:durableId="2046438789">
    <w:abstractNumId w:val="1"/>
  </w:num>
  <w:num w:numId="6" w16cid:durableId="1103913427">
    <w:abstractNumId w:val="5"/>
  </w:num>
  <w:num w:numId="7" w16cid:durableId="372778211">
    <w:abstractNumId w:val="2"/>
  </w:num>
  <w:num w:numId="8" w16cid:durableId="1523056873">
    <w:abstractNumId w:val="17"/>
  </w:num>
  <w:num w:numId="9" w16cid:durableId="1244877334">
    <w:abstractNumId w:val="14"/>
  </w:num>
  <w:num w:numId="10" w16cid:durableId="683477309">
    <w:abstractNumId w:val="11"/>
  </w:num>
  <w:num w:numId="11" w16cid:durableId="2038919485">
    <w:abstractNumId w:val="13"/>
  </w:num>
  <w:num w:numId="12" w16cid:durableId="932279809">
    <w:abstractNumId w:val="7"/>
  </w:num>
  <w:num w:numId="13" w16cid:durableId="651523740">
    <w:abstractNumId w:val="6"/>
  </w:num>
  <w:num w:numId="14" w16cid:durableId="1610550202">
    <w:abstractNumId w:val="0"/>
  </w:num>
  <w:num w:numId="15" w16cid:durableId="1139568640">
    <w:abstractNumId w:val="4"/>
  </w:num>
  <w:num w:numId="16" w16cid:durableId="1400202869">
    <w:abstractNumId w:val="15"/>
  </w:num>
  <w:num w:numId="17" w16cid:durableId="1798841213">
    <w:abstractNumId w:val="3"/>
  </w:num>
  <w:num w:numId="18" w16cid:durableId="1965305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E8"/>
    <w:rsid w:val="00012AEA"/>
    <w:rsid w:val="00015C3C"/>
    <w:rsid w:val="000198FE"/>
    <w:rsid w:val="00021AC1"/>
    <w:rsid w:val="00040D90"/>
    <w:rsid w:val="0004574B"/>
    <w:rsid w:val="00072DB3"/>
    <w:rsid w:val="00077E0D"/>
    <w:rsid w:val="00091F29"/>
    <w:rsid w:val="00092E94"/>
    <w:rsid w:val="00096084"/>
    <w:rsid w:val="00097237"/>
    <w:rsid w:val="000B0C00"/>
    <w:rsid w:val="000C017F"/>
    <w:rsid w:val="000C4887"/>
    <w:rsid w:val="000C7D8A"/>
    <w:rsid w:val="000F11FF"/>
    <w:rsid w:val="000F2BD5"/>
    <w:rsid w:val="001029D1"/>
    <w:rsid w:val="00104A8E"/>
    <w:rsid w:val="00120950"/>
    <w:rsid w:val="001228A0"/>
    <w:rsid w:val="0016675C"/>
    <w:rsid w:val="00166AF1"/>
    <w:rsid w:val="0018030E"/>
    <w:rsid w:val="00180B96"/>
    <w:rsid w:val="001B1B8B"/>
    <w:rsid w:val="001B7902"/>
    <w:rsid w:val="001C5144"/>
    <w:rsid w:val="001D5409"/>
    <w:rsid w:val="001D78EE"/>
    <w:rsid w:val="00200889"/>
    <w:rsid w:val="00226C3C"/>
    <w:rsid w:val="00235BD3"/>
    <w:rsid w:val="002376E6"/>
    <w:rsid w:val="00243FBC"/>
    <w:rsid w:val="00251F92"/>
    <w:rsid w:val="00257136"/>
    <w:rsid w:val="00264C75"/>
    <w:rsid w:val="00275F80"/>
    <w:rsid w:val="002778FD"/>
    <w:rsid w:val="00290D00"/>
    <w:rsid w:val="00295F34"/>
    <w:rsid w:val="002B214E"/>
    <w:rsid w:val="002B6AEE"/>
    <w:rsid w:val="002D7659"/>
    <w:rsid w:val="002E3222"/>
    <w:rsid w:val="002F4FC6"/>
    <w:rsid w:val="00301203"/>
    <w:rsid w:val="00307A12"/>
    <w:rsid w:val="00307EB5"/>
    <w:rsid w:val="00314220"/>
    <w:rsid w:val="0033272D"/>
    <w:rsid w:val="00347B1E"/>
    <w:rsid w:val="00384E75"/>
    <w:rsid w:val="00390B55"/>
    <w:rsid w:val="003C32F3"/>
    <w:rsid w:val="003C798F"/>
    <w:rsid w:val="003D1D9C"/>
    <w:rsid w:val="003D4968"/>
    <w:rsid w:val="003E11C2"/>
    <w:rsid w:val="003F24D8"/>
    <w:rsid w:val="00407410"/>
    <w:rsid w:val="00415590"/>
    <w:rsid w:val="004162F9"/>
    <w:rsid w:val="00416FA5"/>
    <w:rsid w:val="00424ED6"/>
    <w:rsid w:val="0043236C"/>
    <w:rsid w:val="00437D5F"/>
    <w:rsid w:val="00440824"/>
    <w:rsid w:val="00455521"/>
    <w:rsid w:val="00457C8F"/>
    <w:rsid w:val="0046243E"/>
    <w:rsid w:val="004800B7"/>
    <w:rsid w:val="00480AB8"/>
    <w:rsid w:val="00480D40"/>
    <w:rsid w:val="00482C1C"/>
    <w:rsid w:val="0049108C"/>
    <w:rsid w:val="0049114C"/>
    <w:rsid w:val="004923BF"/>
    <w:rsid w:val="00495C1D"/>
    <w:rsid w:val="004A0273"/>
    <w:rsid w:val="004A088C"/>
    <w:rsid w:val="004C7EBD"/>
    <w:rsid w:val="004E007F"/>
    <w:rsid w:val="004E5F7F"/>
    <w:rsid w:val="004E7EBF"/>
    <w:rsid w:val="004F0D31"/>
    <w:rsid w:val="004F14E6"/>
    <w:rsid w:val="004F1B95"/>
    <w:rsid w:val="00503D5D"/>
    <w:rsid w:val="00503EA8"/>
    <w:rsid w:val="005248C8"/>
    <w:rsid w:val="00537C80"/>
    <w:rsid w:val="005445C3"/>
    <w:rsid w:val="00545427"/>
    <w:rsid w:val="00572565"/>
    <w:rsid w:val="0057296D"/>
    <w:rsid w:val="00573D31"/>
    <w:rsid w:val="0058505F"/>
    <w:rsid w:val="005867B0"/>
    <w:rsid w:val="005903D3"/>
    <w:rsid w:val="00593070"/>
    <w:rsid w:val="00593CDC"/>
    <w:rsid w:val="005B4D44"/>
    <w:rsid w:val="005E3E79"/>
    <w:rsid w:val="005E56F5"/>
    <w:rsid w:val="005E7BD4"/>
    <w:rsid w:val="005F5B7C"/>
    <w:rsid w:val="005F6757"/>
    <w:rsid w:val="00613392"/>
    <w:rsid w:val="00617543"/>
    <w:rsid w:val="00624489"/>
    <w:rsid w:val="00631275"/>
    <w:rsid w:val="00640F12"/>
    <w:rsid w:val="006523A7"/>
    <w:rsid w:val="00655A97"/>
    <w:rsid w:val="0067323B"/>
    <w:rsid w:val="006807B1"/>
    <w:rsid w:val="006916F8"/>
    <w:rsid w:val="006979FD"/>
    <w:rsid w:val="006B220F"/>
    <w:rsid w:val="006C58F5"/>
    <w:rsid w:val="006D146F"/>
    <w:rsid w:val="006D7DA9"/>
    <w:rsid w:val="006F5C12"/>
    <w:rsid w:val="007203C6"/>
    <w:rsid w:val="00736A2F"/>
    <w:rsid w:val="0074664E"/>
    <w:rsid w:val="00753C55"/>
    <w:rsid w:val="00763825"/>
    <w:rsid w:val="00773BA7"/>
    <w:rsid w:val="00782AE2"/>
    <w:rsid w:val="007B2A17"/>
    <w:rsid w:val="007B4FBA"/>
    <w:rsid w:val="007B5E61"/>
    <w:rsid w:val="007B7E28"/>
    <w:rsid w:val="007D57D2"/>
    <w:rsid w:val="007D6D44"/>
    <w:rsid w:val="007E26F4"/>
    <w:rsid w:val="007E2DF7"/>
    <w:rsid w:val="00801107"/>
    <w:rsid w:val="00801318"/>
    <w:rsid w:val="00803F94"/>
    <w:rsid w:val="008049FB"/>
    <w:rsid w:val="008064C9"/>
    <w:rsid w:val="00812A9D"/>
    <w:rsid w:val="00817B61"/>
    <w:rsid w:val="008216B7"/>
    <w:rsid w:val="00824995"/>
    <w:rsid w:val="00835C21"/>
    <w:rsid w:val="008362FE"/>
    <w:rsid w:val="0084063D"/>
    <w:rsid w:val="008425C8"/>
    <w:rsid w:val="0084490C"/>
    <w:rsid w:val="0086527C"/>
    <w:rsid w:val="008676AD"/>
    <w:rsid w:val="00880A5D"/>
    <w:rsid w:val="008870EC"/>
    <w:rsid w:val="00893A90"/>
    <w:rsid w:val="0089446F"/>
    <w:rsid w:val="0089615F"/>
    <w:rsid w:val="008D1EE9"/>
    <w:rsid w:val="008E08F5"/>
    <w:rsid w:val="008E2B71"/>
    <w:rsid w:val="008E48CA"/>
    <w:rsid w:val="008F0320"/>
    <w:rsid w:val="00903857"/>
    <w:rsid w:val="00926885"/>
    <w:rsid w:val="00931ABD"/>
    <w:rsid w:val="00950125"/>
    <w:rsid w:val="009676BC"/>
    <w:rsid w:val="00973C07"/>
    <w:rsid w:val="009853C7"/>
    <w:rsid w:val="00997EAB"/>
    <w:rsid w:val="009A4341"/>
    <w:rsid w:val="009B0D67"/>
    <w:rsid w:val="009B2E33"/>
    <w:rsid w:val="009B48F9"/>
    <w:rsid w:val="009B4E05"/>
    <w:rsid w:val="009D1CE8"/>
    <w:rsid w:val="00A0175D"/>
    <w:rsid w:val="00A017C4"/>
    <w:rsid w:val="00A116F6"/>
    <w:rsid w:val="00A373B5"/>
    <w:rsid w:val="00A37400"/>
    <w:rsid w:val="00A44413"/>
    <w:rsid w:val="00A454A8"/>
    <w:rsid w:val="00A6227E"/>
    <w:rsid w:val="00A67AD8"/>
    <w:rsid w:val="00A71B5C"/>
    <w:rsid w:val="00A76764"/>
    <w:rsid w:val="00A86401"/>
    <w:rsid w:val="00AA137C"/>
    <w:rsid w:val="00AB250B"/>
    <w:rsid w:val="00AB6D91"/>
    <w:rsid w:val="00AE2FE6"/>
    <w:rsid w:val="00AF74E1"/>
    <w:rsid w:val="00B0638C"/>
    <w:rsid w:val="00B066D1"/>
    <w:rsid w:val="00B06833"/>
    <w:rsid w:val="00B10242"/>
    <w:rsid w:val="00B128BB"/>
    <w:rsid w:val="00B41A4F"/>
    <w:rsid w:val="00B448F8"/>
    <w:rsid w:val="00B46BF9"/>
    <w:rsid w:val="00B61D1B"/>
    <w:rsid w:val="00B65DC3"/>
    <w:rsid w:val="00B80798"/>
    <w:rsid w:val="00B83629"/>
    <w:rsid w:val="00BB3AB7"/>
    <w:rsid w:val="00BC09DE"/>
    <w:rsid w:val="00BC1D8F"/>
    <w:rsid w:val="00BC25AA"/>
    <w:rsid w:val="00BC2AD2"/>
    <w:rsid w:val="00BD1E4E"/>
    <w:rsid w:val="00BD4A3D"/>
    <w:rsid w:val="00BD7B62"/>
    <w:rsid w:val="00BE04E7"/>
    <w:rsid w:val="00BF7DD6"/>
    <w:rsid w:val="00C0243D"/>
    <w:rsid w:val="00C02AF3"/>
    <w:rsid w:val="00C13B34"/>
    <w:rsid w:val="00C15600"/>
    <w:rsid w:val="00C327E5"/>
    <w:rsid w:val="00C37501"/>
    <w:rsid w:val="00C41FAD"/>
    <w:rsid w:val="00C56F0B"/>
    <w:rsid w:val="00C720FB"/>
    <w:rsid w:val="00C8428B"/>
    <w:rsid w:val="00C86354"/>
    <w:rsid w:val="00C946B5"/>
    <w:rsid w:val="00C9503C"/>
    <w:rsid w:val="00CC3169"/>
    <w:rsid w:val="00CC6769"/>
    <w:rsid w:val="00CC731C"/>
    <w:rsid w:val="00CD2D89"/>
    <w:rsid w:val="00CF65D9"/>
    <w:rsid w:val="00CF78C2"/>
    <w:rsid w:val="00D03935"/>
    <w:rsid w:val="00D11A1C"/>
    <w:rsid w:val="00D155C3"/>
    <w:rsid w:val="00D27628"/>
    <w:rsid w:val="00D306BC"/>
    <w:rsid w:val="00D37C0C"/>
    <w:rsid w:val="00D60B3C"/>
    <w:rsid w:val="00D60CCB"/>
    <w:rsid w:val="00D70862"/>
    <w:rsid w:val="00D8171D"/>
    <w:rsid w:val="00D829D2"/>
    <w:rsid w:val="00D87A96"/>
    <w:rsid w:val="00DA5D3F"/>
    <w:rsid w:val="00DB125E"/>
    <w:rsid w:val="00DB3C60"/>
    <w:rsid w:val="00DB4DE1"/>
    <w:rsid w:val="00DD53DE"/>
    <w:rsid w:val="00E007FD"/>
    <w:rsid w:val="00E07D96"/>
    <w:rsid w:val="00E154AD"/>
    <w:rsid w:val="00E27228"/>
    <w:rsid w:val="00E30F5C"/>
    <w:rsid w:val="00E6318B"/>
    <w:rsid w:val="00E64353"/>
    <w:rsid w:val="00E719D2"/>
    <w:rsid w:val="00E907E6"/>
    <w:rsid w:val="00EA51EB"/>
    <w:rsid w:val="00EC0234"/>
    <w:rsid w:val="00EC7EBE"/>
    <w:rsid w:val="00ED4F70"/>
    <w:rsid w:val="00EE4638"/>
    <w:rsid w:val="00EE692E"/>
    <w:rsid w:val="00EF50EF"/>
    <w:rsid w:val="00F03091"/>
    <w:rsid w:val="00F0424A"/>
    <w:rsid w:val="00F36A26"/>
    <w:rsid w:val="00F51B88"/>
    <w:rsid w:val="00F73DDA"/>
    <w:rsid w:val="00F94D41"/>
    <w:rsid w:val="00F96266"/>
    <w:rsid w:val="00FB4A00"/>
    <w:rsid w:val="00FB6C44"/>
    <w:rsid w:val="00FD4464"/>
    <w:rsid w:val="00FD647C"/>
    <w:rsid w:val="00FD6E35"/>
    <w:rsid w:val="00FE5615"/>
    <w:rsid w:val="00FF2E50"/>
    <w:rsid w:val="00FF79BE"/>
    <w:rsid w:val="013BCA0E"/>
    <w:rsid w:val="0173381E"/>
    <w:rsid w:val="019D695F"/>
    <w:rsid w:val="02064825"/>
    <w:rsid w:val="028EA993"/>
    <w:rsid w:val="02E36F48"/>
    <w:rsid w:val="03D45A9F"/>
    <w:rsid w:val="03D90424"/>
    <w:rsid w:val="0410F703"/>
    <w:rsid w:val="0429A2B4"/>
    <w:rsid w:val="05080141"/>
    <w:rsid w:val="051F3B6F"/>
    <w:rsid w:val="054C9E61"/>
    <w:rsid w:val="05F62B90"/>
    <w:rsid w:val="065C45AC"/>
    <w:rsid w:val="0670DA82"/>
    <w:rsid w:val="07817596"/>
    <w:rsid w:val="078F6920"/>
    <w:rsid w:val="089B326D"/>
    <w:rsid w:val="09006DD6"/>
    <w:rsid w:val="0B13DB74"/>
    <w:rsid w:val="0B77A015"/>
    <w:rsid w:val="0BAA6FD7"/>
    <w:rsid w:val="0C6A271F"/>
    <w:rsid w:val="0D2D0749"/>
    <w:rsid w:val="0ED69E7C"/>
    <w:rsid w:val="1109BD71"/>
    <w:rsid w:val="1110E92B"/>
    <w:rsid w:val="1253FB10"/>
    <w:rsid w:val="126B9A4E"/>
    <w:rsid w:val="129B2484"/>
    <w:rsid w:val="13182648"/>
    <w:rsid w:val="13AF0375"/>
    <w:rsid w:val="15CA5C08"/>
    <w:rsid w:val="167A27CA"/>
    <w:rsid w:val="169A3C87"/>
    <w:rsid w:val="16F23DC1"/>
    <w:rsid w:val="17A00149"/>
    <w:rsid w:val="17FEB3DB"/>
    <w:rsid w:val="18F3C255"/>
    <w:rsid w:val="1937E6C9"/>
    <w:rsid w:val="19AD6437"/>
    <w:rsid w:val="1A39BCC8"/>
    <w:rsid w:val="1A4D9CCC"/>
    <w:rsid w:val="1A89174E"/>
    <w:rsid w:val="1A9DCD2B"/>
    <w:rsid w:val="1AC2946C"/>
    <w:rsid w:val="1B578919"/>
    <w:rsid w:val="1C399D8C"/>
    <w:rsid w:val="1CF17563"/>
    <w:rsid w:val="1D48B978"/>
    <w:rsid w:val="1DA958A2"/>
    <w:rsid w:val="1DC89DC5"/>
    <w:rsid w:val="1DD56DED"/>
    <w:rsid w:val="1E2AF7F9"/>
    <w:rsid w:val="1E4AD04D"/>
    <w:rsid w:val="1EAA5418"/>
    <w:rsid w:val="1EFD88D4"/>
    <w:rsid w:val="1F0D445F"/>
    <w:rsid w:val="1F1F1026"/>
    <w:rsid w:val="20C5AEDE"/>
    <w:rsid w:val="21087B28"/>
    <w:rsid w:val="21C8883D"/>
    <w:rsid w:val="22267585"/>
    <w:rsid w:val="233AD328"/>
    <w:rsid w:val="233B313D"/>
    <w:rsid w:val="23A1613B"/>
    <w:rsid w:val="24F9652A"/>
    <w:rsid w:val="275F43E6"/>
    <w:rsid w:val="279983CD"/>
    <w:rsid w:val="27E81D86"/>
    <w:rsid w:val="28958C0A"/>
    <w:rsid w:val="295BE893"/>
    <w:rsid w:val="2A2E04D2"/>
    <w:rsid w:val="2AA3D5DB"/>
    <w:rsid w:val="2CF054A1"/>
    <w:rsid w:val="2DB8DBCE"/>
    <w:rsid w:val="2E57109A"/>
    <w:rsid w:val="2F72F73D"/>
    <w:rsid w:val="319C62A0"/>
    <w:rsid w:val="32A65F97"/>
    <w:rsid w:val="33C18E94"/>
    <w:rsid w:val="35268168"/>
    <w:rsid w:val="35350E1F"/>
    <w:rsid w:val="35E0D53E"/>
    <w:rsid w:val="36A77C92"/>
    <w:rsid w:val="36EA668F"/>
    <w:rsid w:val="370111D2"/>
    <w:rsid w:val="38497146"/>
    <w:rsid w:val="38C0D875"/>
    <w:rsid w:val="3998261B"/>
    <w:rsid w:val="39BE9FA0"/>
    <w:rsid w:val="3A0674B1"/>
    <w:rsid w:val="3BA138C6"/>
    <w:rsid w:val="3C179FE5"/>
    <w:rsid w:val="3C6D344F"/>
    <w:rsid w:val="3CB61B48"/>
    <w:rsid w:val="3D90AA70"/>
    <w:rsid w:val="3DBEEEB9"/>
    <w:rsid w:val="3E0FBD92"/>
    <w:rsid w:val="3F7921FA"/>
    <w:rsid w:val="41E80E89"/>
    <w:rsid w:val="425CDF51"/>
    <w:rsid w:val="42712146"/>
    <w:rsid w:val="4299CC8C"/>
    <w:rsid w:val="42BF5846"/>
    <w:rsid w:val="42BF5846"/>
    <w:rsid w:val="42E8CB65"/>
    <w:rsid w:val="43850BBB"/>
    <w:rsid w:val="445B28A7"/>
    <w:rsid w:val="44811607"/>
    <w:rsid w:val="45171DF0"/>
    <w:rsid w:val="4520F435"/>
    <w:rsid w:val="456A05A4"/>
    <w:rsid w:val="45F72D8A"/>
    <w:rsid w:val="467FEBFA"/>
    <w:rsid w:val="4686A4EC"/>
    <w:rsid w:val="46EF4F82"/>
    <w:rsid w:val="471074DE"/>
    <w:rsid w:val="479C911A"/>
    <w:rsid w:val="482651DC"/>
    <w:rsid w:val="4909099E"/>
    <w:rsid w:val="498C0579"/>
    <w:rsid w:val="4A40624C"/>
    <w:rsid w:val="4A7549D0"/>
    <w:rsid w:val="4ACEF8B7"/>
    <w:rsid w:val="4B569ECB"/>
    <w:rsid w:val="4C311690"/>
    <w:rsid w:val="4C997AAE"/>
    <w:rsid w:val="4CEE54A2"/>
    <w:rsid w:val="4CFBC5F6"/>
    <w:rsid w:val="4D2AE1F7"/>
    <w:rsid w:val="4D38EB0B"/>
    <w:rsid w:val="4D9DE208"/>
    <w:rsid w:val="4E23D7B5"/>
    <w:rsid w:val="4E33801D"/>
    <w:rsid w:val="4E9302E7"/>
    <w:rsid w:val="4EFA6167"/>
    <w:rsid w:val="4FA532A4"/>
    <w:rsid w:val="505417A5"/>
    <w:rsid w:val="507875E4"/>
    <w:rsid w:val="518C1E15"/>
    <w:rsid w:val="5263BCC5"/>
    <w:rsid w:val="52D571E8"/>
    <w:rsid w:val="5370FBA4"/>
    <w:rsid w:val="53F89089"/>
    <w:rsid w:val="554BE707"/>
    <w:rsid w:val="5559D2C8"/>
    <w:rsid w:val="558AAA14"/>
    <w:rsid w:val="56E7B768"/>
    <w:rsid w:val="57FBC1AE"/>
    <w:rsid w:val="58CCB786"/>
    <w:rsid w:val="5973F0BD"/>
    <w:rsid w:val="5A4B7D25"/>
    <w:rsid w:val="5B21AD40"/>
    <w:rsid w:val="5C4FDE04"/>
    <w:rsid w:val="5C647ED8"/>
    <w:rsid w:val="5C8CA80C"/>
    <w:rsid w:val="5D33E5ED"/>
    <w:rsid w:val="5E10D19D"/>
    <w:rsid w:val="5E2A9429"/>
    <w:rsid w:val="5F058809"/>
    <w:rsid w:val="5FAC128D"/>
    <w:rsid w:val="5FB067D8"/>
    <w:rsid w:val="5FD0FF7F"/>
    <w:rsid w:val="6090EBB5"/>
    <w:rsid w:val="609865FD"/>
    <w:rsid w:val="6131E814"/>
    <w:rsid w:val="6147E2EE"/>
    <w:rsid w:val="6165552E"/>
    <w:rsid w:val="63E2089C"/>
    <w:rsid w:val="64B148E3"/>
    <w:rsid w:val="64E02168"/>
    <w:rsid w:val="64F927B2"/>
    <w:rsid w:val="650219EF"/>
    <w:rsid w:val="6540AB12"/>
    <w:rsid w:val="654539C8"/>
    <w:rsid w:val="67267623"/>
    <w:rsid w:val="67BD4CB4"/>
    <w:rsid w:val="67E4D90B"/>
    <w:rsid w:val="6978D9B0"/>
    <w:rsid w:val="697A3708"/>
    <w:rsid w:val="6A24411D"/>
    <w:rsid w:val="6A869512"/>
    <w:rsid w:val="6AFCE26F"/>
    <w:rsid w:val="6B1A9133"/>
    <w:rsid w:val="6B5E3B3D"/>
    <w:rsid w:val="6B96AF5B"/>
    <w:rsid w:val="6CC94094"/>
    <w:rsid w:val="6CC9A2CF"/>
    <w:rsid w:val="6EC16877"/>
    <w:rsid w:val="6F106650"/>
    <w:rsid w:val="6F15C1AC"/>
    <w:rsid w:val="6F19DF0D"/>
    <w:rsid w:val="6FF59D3E"/>
    <w:rsid w:val="704A2042"/>
    <w:rsid w:val="70A4B8E3"/>
    <w:rsid w:val="70D5AA62"/>
    <w:rsid w:val="71A20133"/>
    <w:rsid w:val="71F488EE"/>
    <w:rsid w:val="7246BCDE"/>
    <w:rsid w:val="728BC126"/>
    <w:rsid w:val="72D26A25"/>
    <w:rsid w:val="72F51232"/>
    <w:rsid w:val="737E3237"/>
    <w:rsid w:val="7394948D"/>
    <w:rsid w:val="73D1622A"/>
    <w:rsid w:val="73EAD174"/>
    <w:rsid w:val="755CE0D0"/>
    <w:rsid w:val="76BFDB03"/>
    <w:rsid w:val="76C3FEEE"/>
    <w:rsid w:val="7836F518"/>
    <w:rsid w:val="79A14DD8"/>
    <w:rsid w:val="79E45955"/>
    <w:rsid w:val="7A071A78"/>
    <w:rsid w:val="7A6EE4CB"/>
    <w:rsid w:val="7AFD0139"/>
    <w:rsid w:val="7B15996A"/>
    <w:rsid w:val="7C21D333"/>
    <w:rsid w:val="7D162663"/>
    <w:rsid w:val="7D85D3E6"/>
    <w:rsid w:val="7ECAFFC9"/>
    <w:rsid w:val="7EEB7C28"/>
    <w:rsid w:val="7F4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569A1"/>
  <w15:docId w15:val="{C7C70300-6820-4E0A-B57A-19CB80A0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373B5"/>
    <w:pPr>
      <w:ind w:left="720"/>
      <w:contextualSpacing/>
    </w:pPr>
  </w:style>
  <w:style w:type="table" w:styleId="TableGrid">
    <w:name w:val="Table Grid"/>
    <w:basedOn w:val="TableNormal"/>
    <w:uiPriority w:val="39"/>
    <w:rsid w:val="00D155C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4F1B95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068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23A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23A7"/>
  </w:style>
  <w:style w:type="paragraph" w:styleId="Footer">
    <w:name w:val="footer"/>
    <w:basedOn w:val="Normal"/>
    <w:link w:val="FooterChar"/>
    <w:uiPriority w:val="99"/>
    <w:unhideWhenUsed/>
    <w:rsid w:val="006523A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69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7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6ea8f4536fee42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0A622C46E854A87021EA1A6AD0E8B" ma:contentTypeVersion="21" ma:contentTypeDescription="Create a new document." ma:contentTypeScope="" ma:versionID="908068eca2d58b43f5918c74a77adf36">
  <xsd:schema xmlns:xsd="http://www.w3.org/2001/XMLSchema" xmlns:xs="http://www.w3.org/2001/XMLSchema" xmlns:p="http://schemas.microsoft.com/office/2006/metadata/properties" xmlns:ns2="dd13afc9-3d6a-42b5-a280-772f2edc244d" xmlns:ns3="6ea107c9-f572-4027-9ee1-4282db378fad" xmlns:ns4="0862de27-bf98-42c3-9af4-81ee2ef416fb" targetNamespace="http://schemas.microsoft.com/office/2006/metadata/properties" ma:root="true" ma:fieldsID="943e3dc5d4f79da5196cd49dea7db1c6" ns2:_="" ns3:_="" ns4:_="">
    <xsd:import namespace="dd13afc9-3d6a-42b5-a280-772f2edc244d"/>
    <xsd:import namespace="6ea107c9-f572-4027-9ee1-4282db378fad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3afc9-3d6a-42b5-a280-772f2edc24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107c9-f572-4027-9ee1-4282db378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49cc29-b3d1-4e57-bbdb-d283f6502581}" ma:internalName="TaxCatchAll" ma:showField="CatchAllData" ma:web="dd13afc9-3d6a-42b5-a280-772f2edc2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1E5CE-02C8-44CF-9EDA-0A8694CF3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1449C-EE4B-4A9F-8C35-33906BB77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3afc9-3d6a-42b5-a280-772f2edc244d"/>
    <ds:schemaRef ds:uri="6ea107c9-f572-4027-9ee1-4282db378fad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Williams</dc:creator>
  <keywords/>
  <dc:description/>
  <lastModifiedBy>Mr M. Sanderson</lastModifiedBy>
  <revision>243</revision>
  <lastPrinted>2023-05-24T10:23:00.0000000Z</lastPrinted>
  <dcterms:created xsi:type="dcterms:W3CDTF">2023-04-27T13:31:00.0000000Z</dcterms:created>
  <dcterms:modified xsi:type="dcterms:W3CDTF">2024-06-21T09:15:05.0138841Z</dcterms:modified>
</coreProperties>
</file>